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766B" w14:textId="77777777" w:rsidR="00826AA6" w:rsidRPr="00826AA6" w:rsidRDefault="00826AA6" w:rsidP="00826AA6">
      <w:pPr>
        <w:jc w:val="center"/>
        <w:rPr>
          <w:rFonts w:ascii="Arial" w:eastAsia="Arial" w:hAnsi="Arial" w:cs="Arial"/>
          <w:b/>
        </w:rPr>
      </w:pPr>
      <w:r w:rsidRPr="00826AA6">
        <w:rPr>
          <w:rFonts w:ascii="Arial" w:eastAsia="Arial" w:hAnsi="Arial" w:cs="Arial"/>
          <w:b/>
        </w:rPr>
        <w:t>A LA ALZA TURISMO DE ROMANCE EN CANCÚN</w:t>
      </w:r>
    </w:p>
    <w:p w14:paraId="352FC369" w14:textId="77777777" w:rsidR="00826AA6" w:rsidRPr="00826AA6" w:rsidRDefault="00826AA6" w:rsidP="00826AA6">
      <w:pPr>
        <w:rPr>
          <w:rFonts w:ascii="Arial" w:eastAsia="Arial" w:hAnsi="Arial" w:cs="Arial"/>
          <w:bCs/>
        </w:rPr>
      </w:pPr>
    </w:p>
    <w:p w14:paraId="04685323" w14:textId="77777777" w:rsidR="00826AA6" w:rsidRPr="00826AA6" w:rsidRDefault="00826AA6" w:rsidP="00826AA6">
      <w:pPr>
        <w:jc w:val="both"/>
        <w:rPr>
          <w:rFonts w:ascii="Arial" w:eastAsia="Arial" w:hAnsi="Arial" w:cs="Arial"/>
          <w:bCs/>
        </w:rPr>
      </w:pPr>
      <w:r w:rsidRPr="00826AA6">
        <w:rPr>
          <w:rFonts w:ascii="Arial" w:eastAsia="Arial" w:hAnsi="Arial" w:cs="Arial"/>
          <w:b/>
        </w:rPr>
        <w:t xml:space="preserve">Cancún, Q. R., a 18 de abril de 2025.- </w:t>
      </w:r>
      <w:r w:rsidRPr="00826AA6">
        <w:rPr>
          <w:rFonts w:ascii="Arial" w:eastAsia="Arial" w:hAnsi="Arial" w:cs="Arial"/>
          <w:bCs/>
        </w:rPr>
        <w:t>Gracias a su belleza natural, servicio de alta calidad y trámites matrimoniales seguros, Cancún se afianza y posiciona al alza en el turismo de romance.</w:t>
      </w:r>
    </w:p>
    <w:p w14:paraId="314A1DD6" w14:textId="77777777" w:rsidR="00826AA6" w:rsidRPr="00826AA6" w:rsidRDefault="00826AA6" w:rsidP="00826AA6">
      <w:pPr>
        <w:jc w:val="both"/>
        <w:rPr>
          <w:rFonts w:ascii="Arial" w:eastAsia="Arial" w:hAnsi="Arial" w:cs="Arial"/>
          <w:bCs/>
        </w:rPr>
      </w:pPr>
    </w:p>
    <w:p w14:paraId="03677675" w14:textId="77777777" w:rsidR="00826AA6" w:rsidRPr="00826AA6" w:rsidRDefault="00826AA6" w:rsidP="00826AA6">
      <w:pPr>
        <w:jc w:val="both"/>
        <w:rPr>
          <w:rFonts w:ascii="Arial" w:eastAsia="Arial" w:hAnsi="Arial" w:cs="Arial"/>
          <w:bCs/>
        </w:rPr>
      </w:pPr>
      <w:r w:rsidRPr="00826AA6">
        <w:rPr>
          <w:rFonts w:ascii="Arial" w:eastAsia="Arial" w:hAnsi="Arial" w:cs="Arial"/>
          <w:bCs/>
        </w:rPr>
        <w:t xml:space="preserve">El titular de la Dirección General de Registro Civil de Benito Juárez, Eduardo </w:t>
      </w:r>
      <w:proofErr w:type="spellStart"/>
      <w:r w:rsidRPr="00826AA6">
        <w:rPr>
          <w:rFonts w:ascii="Arial" w:eastAsia="Arial" w:hAnsi="Arial" w:cs="Arial"/>
          <w:bCs/>
        </w:rPr>
        <w:t>Kuyoc</w:t>
      </w:r>
      <w:proofErr w:type="spellEnd"/>
      <w:r w:rsidRPr="00826AA6">
        <w:rPr>
          <w:rFonts w:ascii="Arial" w:eastAsia="Arial" w:hAnsi="Arial" w:cs="Arial"/>
          <w:bCs/>
        </w:rPr>
        <w:t xml:space="preserve"> Rodríguez, expresó que en lo que va del año, se han realizado un total de 433 nupcias en las que han participado extranjeros, por lo que indicó que la ciudad se continúa consolidando como uno de los destinos preferidos para contraer matrimonio a nivel mundial.</w:t>
      </w:r>
    </w:p>
    <w:p w14:paraId="33382692" w14:textId="77777777" w:rsidR="00826AA6" w:rsidRPr="00826AA6" w:rsidRDefault="00826AA6" w:rsidP="00826AA6">
      <w:pPr>
        <w:jc w:val="both"/>
        <w:rPr>
          <w:rFonts w:ascii="Arial" w:eastAsia="Arial" w:hAnsi="Arial" w:cs="Arial"/>
          <w:bCs/>
        </w:rPr>
      </w:pPr>
    </w:p>
    <w:p w14:paraId="0C2C6E22" w14:textId="77777777" w:rsidR="00826AA6" w:rsidRPr="00826AA6" w:rsidRDefault="00826AA6" w:rsidP="00826AA6">
      <w:pPr>
        <w:jc w:val="both"/>
        <w:rPr>
          <w:rFonts w:ascii="Arial" w:eastAsia="Arial" w:hAnsi="Arial" w:cs="Arial"/>
          <w:bCs/>
        </w:rPr>
      </w:pPr>
      <w:r w:rsidRPr="00826AA6">
        <w:rPr>
          <w:rFonts w:ascii="Arial" w:eastAsia="Arial" w:hAnsi="Arial" w:cs="Arial"/>
          <w:bCs/>
        </w:rPr>
        <w:t>“Nos es grato recibir a gente de todo el mundo que da ese paso tan importante en su vida y en la de sus familias; en Cancún le decimos sí a este derecho, trabajamos para todos 24/7”, destacó.</w:t>
      </w:r>
    </w:p>
    <w:p w14:paraId="1F89BF95" w14:textId="77777777" w:rsidR="00826AA6" w:rsidRPr="00826AA6" w:rsidRDefault="00826AA6" w:rsidP="00826AA6">
      <w:pPr>
        <w:jc w:val="both"/>
        <w:rPr>
          <w:rFonts w:ascii="Arial" w:eastAsia="Arial" w:hAnsi="Arial" w:cs="Arial"/>
          <w:bCs/>
        </w:rPr>
      </w:pPr>
    </w:p>
    <w:p w14:paraId="02877792" w14:textId="77777777" w:rsidR="00826AA6" w:rsidRPr="00826AA6" w:rsidRDefault="00826AA6" w:rsidP="00826AA6">
      <w:pPr>
        <w:jc w:val="both"/>
        <w:rPr>
          <w:rFonts w:ascii="Arial" w:eastAsia="Arial" w:hAnsi="Arial" w:cs="Arial"/>
          <w:bCs/>
        </w:rPr>
      </w:pPr>
      <w:r w:rsidRPr="00826AA6">
        <w:rPr>
          <w:rFonts w:ascii="Arial" w:eastAsia="Arial" w:hAnsi="Arial" w:cs="Arial"/>
          <w:bCs/>
        </w:rPr>
        <w:t>Por su parte el titular de la Secretaría Municipal de Turismo, Juan Pablo de Zulueta Razo, respaldo este hecho, detallando que el 44% de las bodas provenientes de Estados Unidos se celebran en México y del 44% al 70% se llevan a cabo en Cancún y en la Riviera Maya.</w:t>
      </w:r>
    </w:p>
    <w:p w14:paraId="2202D79C" w14:textId="77777777" w:rsidR="00826AA6" w:rsidRPr="00826AA6" w:rsidRDefault="00826AA6" w:rsidP="00826AA6">
      <w:pPr>
        <w:jc w:val="both"/>
        <w:rPr>
          <w:rFonts w:ascii="Arial" w:eastAsia="Arial" w:hAnsi="Arial" w:cs="Arial"/>
          <w:bCs/>
        </w:rPr>
      </w:pPr>
    </w:p>
    <w:p w14:paraId="62163EA9" w14:textId="77777777" w:rsidR="00826AA6" w:rsidRPr="00826AA6" w:rsidRDefault="00826AA6" w:rsidP="00826AA6">
      <w:pPr>
        <w:jc w:val="both"/>
        <w:rPr>
          <w:rFonts w:ascii="Arial" w:eastAsia="Arial" w:hAnsi="Arial" w:cs="Arial"/>
          <w:bCs/>
        </w:rPr>
      </w:pPr>
      <w:r w:rsidRPr="00826AA6">
        <w:rPr>
          <w:rFonts w:ascii="Arial" w:eastAsia="Arial" w:hAnsi="Arial" w:cs="Arial"/>
          <w:bCs/>
        </w:rPr>
        <w:t>Por último, destacó que se seguirá fortaleciendo este nicho de mercado, puesto que no solo incluye realización de bodas, si no también lunas de miel, despedidas de solteros, aniversario de novios y casados, renovación de votos, lo que da pie a futuros viajes familiares, que se traduce en una derrama económica y bienestar para los cancunenses.</w:t>
      </w:r>
    </w:p>
    <w:p w14:paraId="0A6EB2B6" w14:textId="77777777" w:rsidR="00826AA6" w:rsidRPr="00826AA6" w:rsidRDefault="00826AA6" w:rsidP="00826AA6">
      <w:pPr>
        <w:rPr>
          <w:rFonts w:ascii="Arial" w:eastAsia="Arial" w:hAnsi="Arial" w:cs="Arial"/>
          <w:bCs/>
        </w:rPr>
      </w:pPr>
    </w:p>
    <w:p w14:paraId="07393BF5" w14:textId="60889476" w:rsidR="00826AA6" w:rsidRPr="00DE4F0C" w:rsidRDefault="00826AA6" w:rsidP="00826AA6">
      <w:pPr>
        <w:jc w:val="center"/>
        <w:rPr>
          <w:rFonts w:ascii="Arial" w:eastAsia="Arial" w:hAnsi="Arial" w:cs="Arial"/>
          <w:bCs/>
        </w:rPr>
      </w:pPr>
      <w:r w:rsidRPr="00826AA6">
        <w:rPr>
          <w:rFonts w:ascii="Arial" w:eastAsia="Arial" w:hAnsi="Arial" w:cs="Arial"/>
          <w:bCs/>
        </w:rPr>
        <w:t>************</w:t>
      </w:r>
    </w:p>
    <w:p w14:paraId="6653B753" w14:textId="39BDD343" w:rsidR="00826AA6" w:rsidRPr="00DE4F0C" w:rsidRDefault="00826AA6" w:rsidP="00826AA6">
      <w:pPr>
        <w:rPr>
          <w:rFonts w:ascii="Arial" w:eastAsia="Arial" w:hAnsi="Arial" w:cs="Arial"/>
          <w:bCs/>
        </w:rPr>
      </w:pPr>
    </w:p>
    <w:p w14:paraId="5C83F50B" w14:textId="34ACEBCE" w:rsidR="006B2AC6" w:rsidRPr="00DE4F0C" w:rsidRDefault="006B2AC6" w:rsidP="00826AA6">
      <w:pPr>
        <w:rPr>
          <w:rFonts w:ascii="Arial" w:eastAsia="Arial" w:hAnsi="Arial" w:cs="Arial"/>
          <w:bCs/>
        </w:rPr>
      </w:pPr>
    </w:p>
    <w:sectPr w:rsidR="006B2AC6" w:rsidRPr="00DE4F0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512E" w14:textId="77777777" w:rsidR="003D3959" w:rsidRDefault="003D3959">
      <w:r>
        <w:separator/>
      </w:r>
    </w:p>
  </w:endnote>
  <w:endnote w:type="continuationSeparator" w:id="0">
    <w:p w14:paraId="49628A8A" w14:textId="77777777" w:rsidR="003D3959" w:rsidRDefault="003D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FA1"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5EA96F45" wp14:editId="251E9D75">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40EC" w14:textId="77777777" w:rsidR="003D3959" w:rsidRDefault="003D3959">
      <w:r>
        <w:separator/>
      </w:r>
    </w:p>
  </w:footnote>
  <w:footnote w:type="continuationSeparator" w:id="0">
    <w:p w14:paraId="4A154F29" w14:textId="77777777" w:rsidR="003D3959" w:rsidRDefault="003D3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1356"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8988D1B" wp14:editId="0F6A45D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05F47C" wp14:editId="2E813FC5">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8B60DB" w14:textId="0820A40B" w:rsidR="00B4101A" w:rsidRDefault="00000000">
                          <w:pPr>
                            <w:textDirection w:val="btLr"/>
                          </w:pPr>
                          <w:r>
                            <w:rPr>
                              <w:rFonts w:cs="Calibri"/>
                              <w:b/>
                              <w:color w:val="000000"/>
                            </w:rPr>
                            <w:t xml:space="preserve">Comunicado de prensa: </w:t>
                          </w:r>
                          <w:r w:rsidR="001E29D3">
                            <w:rPr>
                              <w:rFonts w:cs="Calibri"/>
                              <w:b/>
                              <w:color w:val="000000"/>
                            </w:rPr>
                            <w:t>7</w:t>
                          </w:r>
                          <w:r w:rsidR="006B2AC6">
                            <w:rPr>
                              <w:rFonts w:cs="Calibri"/>
                              <w:b/>
                              <w:color w:val="000000"/>
                            </w:rPr>
                            <w:t>5</w:t>
                          </w:r>
                          <w:r w:rsidR="00826AA6">
                            <w:rPr>
                              <w:rFonts w:cs="Calibri"/>
                              <w:b/>
                              <w:color w:val="000000"/>
                            </w:rPr>
                            <w:t>6</w:t>
                          </w:r>
                        </w:p>
                      </w:txbxContent>
                    </wps:txbx>
                    <wps:bodyPr spcFirstLastPara="1" wrap="square" lIns="91425" tIns="45700" rIns="91425" bIns="45700" anchor="ctr" anchorCtr="0">
                      <a:noAutofit/>
                    </wps:bodyPr>
                  </wps:wsp>
                </a:graphicData>
              </a:graphic>
            </wp:anchor>
          </w:drawing>
        </mc:Choice>
        <mc:Fallback>
          <w:pict>
            <v:rect w14:anchorId="7B05F47C"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" fillcolor="white [3201]" strokecolor="black [3200]" strokeweight="1pt">
              <v:stroke startarrowwidth="narrow" startarrowlength="short" endarrowwidth="narrow" endarrowlength="short"/>
              <v:textbox inset="2.53958mm,1.2694mm,2.53958mm,1.2694mm">
                <w:txbxContent>
                  <w:p w14:paraId="228B60DB" w14:textId="0820A40B" w:rsidR="00B4101A" w:rsidRDefault="00000000">
                    <w:pPr>
                      <w:textDirection w:val="btLr"/>
                    </w:pPr>
                    <w:r>
                      <w:rPr>
                        <w:rFonts w:cs="Calibri"/>
                        <w:b/>
                        <w:color w:val="000000"/>
                      </w:rPr>
                      <w:t xml:space="preserve">Comunicado de prensa: </w:t>
                    </w:r>
                    <w:r w:rsidR="001E29D3">
                      <w:rPr>
                        <w:rFonts w:cs="Calibri"/>
                        <w:b/>
                        <w:color w:val="000000"/>
                      </w:rPr>
                      <w:t>7</w:t>
                    </w:r>
                    <w:r w:rsidR="006B2AC6">
                      <w:rPr>
                        <w:rFonts w:cs="Calibri"/>
                        <w:b/>
                        <w:color w:val="000000"/>
                      </w:rPr>
                      <w:t>5</w:t>
                    </w:r>
                    <w:r w:rsidR="00826AA6">
                      <w:rPr>
                        <w:rFonts w:cs="Calibri"/>
                        <w:b/>
                        <w:color w:val="000000"/>
                      </w:rPr>
                      <w:t>6</w:t>
                    </w:r>
                  </w:p>
                </w:txbxContent>
              </v:textbox>
            </v:rect>
          </w:pict>
        </mc:Fallback>
      </mc:AlternateContent>
    </w:r>
  </w:p>
  <w:p w14:paraId="18DEC6DA"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2F7832D2" wp14:editId="31427C5B">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DD"/>
    <w:multiLevelType w:val="hybridMultilevel"/>
    <w:tmpl w:val="914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4DF6"/>
    <w:multiLevelType w:val="hybridMultilevel"/>
    <w:tmpl w:val="11A8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04A6A"/>
    <w:multiLevelType w:val="hybridMultilevel"/>
    <w:tmpl w:val="23A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E1FDA"/>
    <w:multiLevelType w:val="hybridMultilevel"/>
    <w:tmpl w:val="4344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C1434"/>
    <w:multiLevelType w:val="hybridMultilevel"/>
    <w:tmpl w:val="95F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E19CF"/>
    <w:multiLevelType w:val="hybridMultilevel"/>
    <w:tmpl w:val="94DC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E2033"/>
    <w:multiLevelType w:val="hybridMultilevel"/>
    <w:tmpl w:val="0D3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95510"/>
    <w:multiLevelType w:val="hybridMultilevel"/>
    <w:tmpl w:val="415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397336">
    <w:abstractNumId w:val="4"/>
  </w:num>
  <w:num w:numId="2" w16cid:durableId="1851869094">
    <w:abstractNumId w:val="7"/>
  </w:num>
  <w:num w:numId="3" w16cid:durableId="1289435243">
    <w:abstractNumId w:val="1"/>
  </w:num>
  <w:num w:numId="4" w16cid:durableId="581915191">
    <w:abstractNumId w:val="6"/>
  </w:num>
  <w:num w:numId="5" w16cid:durableId="1029334313">
    <w:abstractNumId w:val="2"/>
  </w:num>
  <w:num w:numId="6" w16cid:durableId="1014500320">
    <w:abstractNumId w:val="5"/>
  </w:num>
  <w:num w:numId="7" w16cid:durableId="856433222">
    <w:abstractNumId w:val="0"/>
  </w:num>
  <w:num w:numId="8" w16cid:durableId="57261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1A"/>
    <w:rsid w:val="001C4229"/>
    <w:rsid w:val="001D3F59"/>
    <w:rsid w:val="001E0755"/>
    <w:rsid w:val="001E29D3"/>
    <w:rsid w:val="00280BB1"/>
    <w:rsid w:val="002A003B"/>
    <w:rsid w:val="003D3959"/>
    <w:rsid w:val="00453787"/>
    <w:rsid w:val="004565C7"/>
    <w:rsid w:val="004D3925"/>
    <w:rsid w:val="00660B27"/>
    <w:rsid w:val="00677F76"/>
    <w:rsid w:val="006B2AC6"/>
    <w:rsid w:val="006D4A40"/>
    <w:rsid w:val="00731618"/>
    <w:rsid w:val="007C0364"/>
    <w:rsid w:val="007C0CDE"/>
    <w:rsid w:val="00826AA6"/>
    <w:rsid w:val="008420A8"/>
    <w:rsid w:val="008728A2"/>
    <w:rsid w:val="0097269A"/>
    <w:rsid w:val="00A74F61"/>
    <w:rsid w:val="00B23C3D"/>
    <w:rsid w:val="00B4101A"/>
    <w:rsid w:val="00B510F7"/>
    <w:rsid w:val="00C2564A"/>
    <w:rsid w:val="00CD7FC4"/>
    <w:rsid w:val="00D8321C"/>
    <w:rsid w:val="00DE4F0C"/>
    <w:rsid w:val="00E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91E2"/>
  <w15:docId w15:val="{D20655D0-8A6E-4592-BDC2-CA550F5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2025-04-18T17:05:00Z</dcterms:created>
  <dcterms:modified xsi:type="dcterms:W3CDTF">2025-04-18T17:05:00Z</dcterms:modified>
</cp:coreProperties>
</file>